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51727"/>
          <w:sz w:val="40"/>
        </w:rPr>
        <w:t>POP — Serviço de maqueiro (transporte intra-hospitalar)</w:t>
      </w:r>
    </w:p>
    <w:p>
      <w:r>
        <w:rPr>
          <w:color w:val="6E6E73"/>
          <w:sz w:val="20"/>
        </w:rPr>
        <w:t>Modelo de procedimento operacional padrão · Jump Systems / PulseLog</w:t>
      </w:r>
    </w:p>
    <w:p>
      <w:pPr>
        <w:pStyle w:val="Heading2"/>
      </w:pPr>
      <w:r>
        <w:rPr>
          <w:rFonts w:ascii="Calibri" w:hAnsi="Calibri"/>
          <w:color w:val="151727"/>
        </w:rPr>
        <w:t>Cabeçalho do documento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4706"/>
            <w:shd w:val="clear" w:color="auto" w:fill="151727"/>
          </w:tcPr>
          <w:p>
            <w:r/>
            <w:r>
              <w:rPr>
                <w:b/>
                <w:color w:val="FFFFFF"/>
                <w:sz w:val="18"/>
              </w:rPr>
              <w:t>Campo</w:t>
            </w:r>
          </w:p>
        </w:tc>
        <w:tc>
          <w:tcPr>
            <w:tcW w:type="dxa" w:w="4706"/>
            <w:shd w:val="clear" w:color="auto" w:fill="151727"/>
          </w:tcPr>
          <w:p>
            <w:r/>
            <w:r>
              <w:rPr>
                <w:b/>
                <w:color w:val="FFFFFF"/>
                <w:sz w:val="18"/>
              </w:rPr>
              <w:t>Preenchimento</w:t>
            </w:r>
          </w:p>
        </w:tc>
      </w:tr>
      <w:tr>
        <w:tc>
          <w:tcPr>
            <w:tcW w:type="dxa" w:w="4706"/>
          </w:tcPr>
          <w:p>
            <w:r/>
            <w:r>
              <w:rPr>
                <w:sz w:val="18"/>
              </w:rPr>
              <w:t>Título</w:t>
            </w:r>
          </w:p>
        </w:tc>
        <w:tc>
          <w:tcPr>
            <w:tcW w:type="dxa" w:w="4706"/>
          </w:tcPr>
          <w:p>
            <w:r/>
            <w:r>
              <w:rPr>
                <w:sz w:val="18"/>
              </w:rPr>
              <w:t>POP — Serviço de maqueiro (transporte intra-hospitalar)</w:t>
            </w:r>
          </w:p>
        </w:tc>
      </w:tr>
      <w:tr>
        <w:tc>
          <w:tcPr>
            <w:tcW w:type="dxa" w:w="4706"/>
          </w:tcPr>
          <w:p>
            <w:r/>
            <w:r>
              <w:rPr>
                <w:sz w:val="18"/>
              </w:rPr>
              <w:t>Código / versão</w:t>
            </w:r>
          </w:p>
        </w:tc>
        <w:tc>
          <w:tcPr>
            <w:tcW w:type="dxa" w:w="4706"/>
          </w:tcPr>
          <w:p>
            <w:r/>
            <w:r>
              <w:rPr>
                <w:sz w:val="18"/>
              </w:rPr>
              <w:t>[CÓDIGO] / [VERSÃO]</w:t>
            </w:r>
          </w:p>
        </w:tc>
      </w:tr>
      <w:tr>
        <w:tc>
          <w:tcPr>
            <w:tcW w:type="dxa" w:w="4706"/>
          </w:tcPr>
          <w:p>
            <w:r/>
            <w:r>
              <w:rPr>
                <w:sz w:val="18"/>
              </w:rPr>
              <w:t>Data de emissão e próxima revisão</w:t>
            </w:r>
          </w:p>
        </w:tc>
        <w:tc>
          <w:tcPr>
            <w:tcW w:type="dxa" w:w="4706"/>
          </w:tcPr>
          <w:p>
            <w:r/>
            <w:r>
              <w:rPr>
                <w:sz w:val="18"/>
              </w:rPr>
              <w:t>[DATA] / [DATA]</w:t>
            </w:r>
          </w:p>
        </w:tc>
      </w:tr>
      <w:tr>
        <w:tc>
          <w:tcPr>
            <w:tcW w:type="dxa" w:w="4706"/>
          </w:tcPr>
          <w:p>
            <w:r/>
            <w:r>
              <w:rPr>
                <w:sz w:val="18"/>
              </w:rPr>
              <w:t>Elaboração</w:t>
            </w:r>
          </w:p>
        </w:tc>
        <w:tc>
          <w:tcPr>
            <w:tcW w:type="dxa" w:w="4706"/>
          </w:tcPr>
          <w:p>
            <w:r/>
            <w:r>
              <w:rPr>
                <w:sz w:val="18"/>
              </w:rPr>
              <w:t>[NOME E CARGO]</w:t>
            </w:r>
          </w:p>
        </w:tc>
      </w:tr>
      <w:tr>
        <w:tc>
          <w:tcPr>
            <w:tcW w:type="dxa" w:w="4706"/>
          </w:tcPr>
          <w:p>
            <w:r/>
            <w:r>
              <w:rPr>
                <w:sz w:val="18"/>
              </w:rPr>
              <w:t>Verificação / aprovação</w:t>
            </w:r>
          </w:p>
        </w:tc>
        <w:tc>
          <w:tcPr>
            <w:tcW w:type="dxa" w:w="4706"/>
          </w:tcPr>
          <w:p>
            <w:r/>
            <w:r>
              <w:rPr>
                <w:sz w:val="18"/>
              </w:rPr>
              <w:t>[SETOR DE QUALIDADE] / [DIREÇÃO]</w:t>
            </w:r>
          </w:p>
        </w:tc>
      </w:tr>
    </w:tbl>
    <w:p/>
    <w:p>
      <w:pPr>
        <w:pStyle w:val="Heading2"/>
      </w:pPr>
      <w:r>
        <w:rPr>
          <w:rFonts w:ascii="Calibri" w:hAnsi="Calibri"/>
          <w:color w:val="151727"/>
        </w:rPr>
        <w:t>1. Objetivo</w:t>
      </w:r>
    </w:p>
    <w:p>
      <w:r>
        <w:t>Padronizar e sistematizar o transporte de pacientes dentro de [NOME DO HOSPITAL], garantindo segurança e qualidade, e definir as responsabilidades dos profissionais envolvidos no transporte intra-hospitalar.</w:t>
      </w:r>
    </w:p>
    <w:p>
      <w:pPr>
        <w:pStyle w:val="ListBullet"/>
      </w:pPr>
      <w:r>
        <w:t>transportar pacientes para exames, internação, mudança de leito, transferência e alta;</w:t>
      </w:r>
    </w:p>
    <w:p>
      <w:pPr>
        <w:pStyle w:val="ListBullet"/>
      </w:pPr>
      <w:r>
        <w:t>transportar o corpo, em caso de óbito, até o local destinado;</w:t>
      </w:r>
    </w:p>
    <w:p>
      <w:pPr>
        <w:pStyle w:val="ListBullet"/>
      </w:pPr>
      <w:r>
        <w:t>preservar e manter em bom estado os equipamentos de transporte;</w:t>
      </w:r>
    </w:p>
    <w:p>
      <w:pPr>
        <w:pStyle w:val="ListBullet"/>
      </w:pPr>
      <w:r>
        <w:t>registrar e monitorar o serviço por meio de indicadores.</w:t>
      </w:r>
    </w:p>
    <w:p>
      <w:pPr>
        <w:pStyle w:val="Heading2"/>
      </w:pPr>
      <w:r>
        <w:rPr>
          <w:rFonts w:ascii="Calibri" w:hAnsi="Calibri"/>
          <w:color w:val="151727"/>
        </w:rPr>
        <w:t>2. Abrangência</w:t>
      </w:r>
    </w:p>
    <w:p>
      <w:r>
        <w:t>Todas as unidades assistenciais, de apoio diagnóstico e terapêutico de [NOME DO HOSPITAL], nos turnos [TURNOS], incluindo fins de semana e feriados.</w:t>
      </w:r>
    </w:p>
    <w:p>
      <w:pPr>
        <w:pStyle w:val="Heading2"/>
      </w:pPr>
      <w:r>
        <w:rPr>
          <w:rFonts w:ascii="Calibri" w:hAnsi="Calibri"/>
          <w:color w:val="151727"/>
        </w:rPr>
        <w:t>3. Definições</w:t>
      </w:r>
    </w:p>
    <w:p>
      <w:pPr>
        <w:pStyle w:val="ListBullet"/>
      </w:pPr>
      <w:r>
        <w:t>Maqueiro: profissional que recebe e transporta pacientes pelas áreas internas, conforme solicitado, e zela pelos equipamentos de transporte.</w:t>
      </w:r>
    </w:p>
    <w:p>
      <w:pPr>
        <w:pStyle w:val="ListBullet"/>
      </w:pPr>
      <w:r>
        <w:t>Equipamentos de transporte: maca, cadeira de rodas, cama hospitalar, berço e incubadora de transporte.</w:t>
      </w:r>
    </w:p>
    <w:p>
      <w:pPr>
        <w:pStyle w:val="ListBullet"/>
      </w:pPr>
      <w:r>
        <w:t>Central de maqueiros: setor (ou recepção de internação, em horários definidos) que recebe os chamados e aciona o profissional disponível.</w:t>
      </w:r>
    </w:p>
    <w:p>
      <w:pPr>
        <w:pStyle w:val="ListBullet"/>
      </w:pPr>
      <w:r>
        <w:t>Avaria: qualquer dano, deterioração ou desgaste de equipamento.</w:t>
      </w:r>
    </w:p>
    <w:p>
      <w:pPr>
        <w:pStyle w:val="ListBullet"/>
      </w:pPr>
      <w:r>
        <w:t>EPI: equipamento de proteção individual.</w:t>
      </w:r>
    </w:p>
    <w:p>
      <w:pPr>
        <w:pStyle w:val="ListBullet"/>
      </w:pPr>
      <w:r>
        <w:t>SLA: prazo acordado para cada etapa do atendimento.</w:t>
      </w:r>
    </w:p>
    <w:p>
      <w:pPr>
        <w:pStyle w:val="Heading2"/>
      </w:pPr>
      <w:r>
        <w:rPr>
          <w:rFonts w:ascii="Calibri" w:hAnsi="Calibri"/>
          <w:color w:val="151727"/>
        </w:rPr>
        <w:t>4. Responsabilidades</w:t>
      </w:r>
    </w:p>
    <w:p>
      <w:r>
        <w:t>Maqueiro:</w:t>
      </w:r>
    </w:p>
    <w:p>
      <w:pPr>
        <w:pStyle w:val="ListBullet"/>
      </w:pPr>
      <w:r>
        <w:t>apresentar-se uniformizado e identificado com crachá, e manter o dispositivo de comunicação carregado;</w:t>
      </w:r>
    </w:p>
    <w:p>
      <w:pPr>
        <w:pStyle w:val="ListBullet"/>
      </w:pPr>
      <w:r>
        <w:t>executar os transportes com segurança, seguindo as orientações da equipe assistencial e da gestão local;</w:t>
      </w:r>
    </w:p>
    <w:p>
      <w:pPr>
        <w:pStyle w:val="ListBullet"/>
      </w:pPr>
      <w:r>
        <w:t>conferir os equipamentos no início do plantão (checklist) e comunicar qualquer avaria imediatamente;</w:t>
      </w:r>
    </w:p>
    <w:p>
      <w:pPr>
        <w:pStyle w:val="ListBullet"/>
      </w:pPr>
      <w:r>
        <w:t>higienizar as mãos e usar os EPI conforme a precaução recomendada para o paciente;</w:t>
      </w:r>
    </w:p>
    <w:p>
      <w:pPr>
        <w:pStyle w:val="ListBullet"/>
      </w:pPr>
      <w:r>
        <w:t>higienizar os equipamentos após cada transporte, conforme o procedimento da CCIH, ou solicitar a limpeza;</w:t>
      </w:r>
    </w:p>
    <w:p>
      <w:pPr>
        <w:pStyle w:val="ListBullet"/>
      </w:pPr>
      <w:r>
        <w:t>preservar o sigilo das informações e não registrar imagens de pacientes ou acompanhantes;</w:t>
      </w:r>
    </w:p>
    <w:p>
      <w:pPr>
        <w:pStyle w:val="ListBullet"/>
      </w:pPr>
      <w:r>
        <w:t>registrar as ocorrências do plantão e repassá-las ao próximo profissional.</w:t>
      </w:r>
    </w:p>
    <w:p>
      <w:r>
        <w:t>Enfermagem da unidade solicitante: avaliar as condições do paciente e o risco-benefício do transporte; definir o meio de transporte e a equipe necessária; comunicar a unidade receptora antes de acionar o serviço; conferir a identificação do paciente pela pulseira; acompanhar o transporte quando exigido; entregar pertences e documentos.</w:t>
      </w:r>
    </w:p>
    <w:p>
      <w:r>
        <w:t>Enfermagem da unidade receptora: receber as informações do paciente, conferir a identificação, indicar o local de acomodação e dar seguimento à admissão.</w:t>
      </w:r>
    </w:p>
    <w:p>
      <w:r>
        <w:t>Central de maqueiros / recepção de internação: receber os chamados, acionar o maqueiro disponível, registrar as requisições, validar os dados e levantar os indicadores mensais.</w:t>
      </w:r>
    </w:p>
    <w:p>
      <w:r>
        <w:t>Gestão da hotelaria: gerenciar a escala e a disponibilidade da equipe, tratar as situações não previstas e analisar os indicadores com a enfermagem.</w:t>
      </w:r>
    </w:p>
    <w:p>
      <w:pPr>
        <w:pStyle w:val="Heading2"/>
      </w:pPr>
      <w:r>
        <w:rPr>
          <w:rFonts w:ascii="Calibri" w:hAnsi="Calibri"/>
          <w:color w:val="151727"/>
        </w:rPr>
        <w:t>5. Materiais e equipamentos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4706"/>
            <w:shd w:val="clear" w:color="auto" w:fill="151727"/>
          </w:tcPr>
          <w:p>
            <w:r/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type="dxa" w:w="4706"/>
            <w:shd w:val="clear" w:color="auto" w:fill="151727"/>
          </w:tcPr>
          <w:p>
            <w:r/>
            <w:r>
              <w:rPr>
                <w:b/>
                <w:color w:val="FFFFFF"/>
                <w:sz w:val="18"/>
              </w:rPr>
              <w:t>Observação</w:t>
            </w:r>
          </w:p>
        </w:tc>
      </w:tr>
      <w:tr>
        <w:tc>
          <w:tcPr>
            <w:tcW w:type="dxa" w:w="4706"/>
          </w:tcPr>
          <w:p>
            <w:r/>
            <w:r>
              <w:rPr>
                <w:sz w:val="18"/>
              </w:rPr>
              <w:t>EPI: luvas, máscara cirúrgica, máscara PFF2/N95, avental, óculos</w:t>
            </w:r>
          </w:p>
        </w:tc>
        <w:tc>
          <w:tcPr>
            <w:tcW w:type="dxa" w:w="4706"/>
          </w:tcPr>
          <w:p>
            <w:r/>
            <w:r>
              <w:rPr>
                <w:sz w:val="18"/>
              </w:rPr>
              <w:t>Conforme o tipo de precaução/isolamento do paciente, segundo as normas da CCIH.</w:t>
            </w:r>
          </w:p>
        </w:tc>
      </w:tr>
      <w:tr>
        <w:tc>
          <w:tcPr>
            <w:tcW w:type="dxa" w:w="4706"/>
          </w:tcPr>
          <w:p>
            <w:r/>
            <w:r>
              <w:rPr>
                <w:sz w:val="18"/>
              </w:rPr>
              <w:t>Maca, cadeira de rodas, cama, berço, incubadora de transporte</w:t>
            </w:r>
          </w:p>
        </w:tc>
        <w:tc>
          <w:tcPr>
            <w:tcW w:type="dxa" w:w="4706"/>
          </w:tcPr>
          <w:p>
            <w:r/>
            <w:r>
              <w:rPr>
                <w:sz w:val="18"/>
              </w:rPr>
              <w:t>O solicitante informa o meio de transporte adequado.</w:t>
            </w:r>
          </w:p>
        </w:tc>
      </w:tr>
      <w:tr>
        <w:tc>
          <w:tcPr>
            <w:tcW w:type="dxa" w:w="4706"/>
          </w:tcPr>
          <w:p>
            <w:r/>
            <w:r>
              <w:rPr>
                <w:sz w:val="18"/>
              </w:rPr>
              <w:t>Rádio, celular ou aplicativo</w:t>
            </w:r>
          </w:p>
        </w:tc>
        <w:tc>
          <w:tcPr>
            <w:tcW w:type="dxa" w:w="4706"/>
          </w:tcPr>
          <w:p>
            <w:r/>
            <w:r>
              <w:rPr>
                <w:sz w:val="18"/>
              </w:rPr>
              <w:t>Comunicação entre central e maqueiro.</w:t>
            </w:r>
          </w:p>
        </w:tc>
      </w:tr>
      <w:tr>
        <w:tc>
          <w:tcPr>
            <w:tcW w:type="dxa" w:w="4706"/>
          </w:tcPr>
          <w:p>
            <w:r/>
            <w:r>
              <w:rPr>
                <w:sz w:val="18"/>
              </w:rPr>
              <w:t>Formulário de requisição e checklist de equipamentos</w:t>
            </w:r>
          </w:p>
        </w:tc>
        <w:tc>
          <w:tcPr>
            <w:tcW w:type="dxa" w:w="4706"/>
          </w:tcPr>
          <w:p>
            <w:r/>
            <w:r>
              <w:rPr>
                <w:sz w:val="18"/>
              </w:rPr>
              <w:t>Em papel ou sistema.</w:t>
            </w:r>
          </w:p>
        </w:tc>
      </w:tr>
    </w:tbl>
    <w:p/>
    <w:p>
      <w:pPr>
        <w:pStyle w:val="Heading2"/>
      </w:pPr>
      <w:r>
        <w:rPr>
          <w:rFonts w:ascii="Calibri" w:hAnsi="Calibri"/>
          <w:color w:val="151727"/>
        </w:rPr>
        <w:t>6.1 Abertura do chamado</w:t>
      </w:r>
    </w:p>
    <w:p>
      <w:r>
        <w:t>O solicitante informa à central:</w:t>
      </w:r>
    </w:p>
    <w:p>
      <w:pPr>
        <w:pStyle w:val="ListBullet"/>
      </w:pPr>
      <w:r>
        <w:t>nome do solicitante e ramal;</w:t>
      </w:r>
    </w:p>
    <w:p>
      <w:pPr>
        <w:pStyle w:val="ListBullet"/>
      </w:pPr>
      <w:r>
        <w:t>nome completo do paciente;</w:t>
      </w:r>
    </w:p>
    <w:p>
      <w:pPr>
        <w:pStyle w:val="ListBullet"/>
      </w:pPr>
      <w:r>
        <w:t>local de origem e de destino;</w:t>
      </w:r>
    </w:p>
    <w:p>
      <w:pPr>
        <w:pStyle w:val="ListBullet"/>
      </w:pPr>
      <w:r>
        <w:t>meio de transporte necessário;</w:t>
      </w:r>
    </w:p>
    <w:p>
      <w:pPr>
        <w:pStyle w:val="ListBullet"/>
      </w:pPr>
      <w:r>
        <w:t>data e horário do serviço;</w:t>
      </w:r>
    </w:p>
    <w:p>
      <w:pPr>
        <w:pStyle w:val="ListBullet"/>
      </w:pPr>
      <w:r>
        <w:t>finalidade (exame, transferência, alta, óbito ou outra);</w:t>
      </w:r>
    </w:p>
    <w:p>
      <w:pPr>
        <w:pStyle w:val="ListBullet"/>
      </w:pPr>
      <w:r>
        <w:t>precauções e isolamentos;</w:t>
      </w:r>
    </w:p>
    <w:p>
      <w:pPr>
        <w:pStyle w:val="ListBullet"/>
      </w:pPr>
      <w:r>
        <w:t>outras informações relevantes.</w:t>
      </w:r>
    </w:p>
    <w:p>
      <w:pPr>
        <w:pStyle w:val="Heading2"/>
      </w:pPr>
      <w:r>
        <w:rPr>
          <w:rFonts w:ascii="Calibri" w:hAnsi="Calibri"/>
          <w:color w:val="151727"/>
        </w:rPr>
        <w:t>6.2 Prazos de referência</w:t>
      </w:r>
    </w:p>
    <w:p>
      <w:r>
        <w:t>[DEFINIR PELO HOSPITAL]. Como exemplo, o protocolo do HU-UFGD adota 5 minutos para o maqueiro se apresentar, 10 minutos de tolerância para a liberação do paciente e 35 minutos para a conclusão do atendimento.</w:t>
      </w:r>
    </w:p>
    <w:p>
      <w:pPr>
        <w:pStyle w:val="Heading2"/>
      </w:pPr>
      <w:r>
        <w:rPr>
          <w:rFonts w:ascii="Calibri" w:hAnsi="Calibri"/>
          <w:color w:val="151727"/>
        </w:rPr>
        <w:t>6.3 Atendimento e transporte</w:t>
      </w:r>
    </w:p>
    <w:p>
      <w:pPr>
        <w:pStyle w:val="ListNumber"/>
      </w:pPr>
      <w:r>
        <w:t>Higienizar as mãos e paramentar-se com os EPI recomendados.</w:t>
      </w:r>
    </w:p>
    <w:p>
      <w:pPr>
        <w:pStyle w:val="ListNumber"/>
      </w:pPr>
      <w:r>
        <w:t>Identificar-se à equipe assistencial, ao paciente e ao acompanhante, chamando o paciente pelo nome e conferindo a pulseira de identificação.</w:t>
      </w:r>
    </w:p>
    <w:p>
      <w:pPr>
        <w:pStyle w:val="ListNumber"/>
      </w:pPr>
      <w:r>
        <w:t>Acomodar o paciente com segurança no meio de transporte indicado: travar as rodas, levantar e conferir as grades laterais, ajustar soro e oxigênio no suporte, se houver, e cobrir o paciente quando necessário.</w:t>
      </w:r>
    </w:p>
    <w:p>
      <w:pPr>
        <w:pStyle w:val="ListNumber"/>
      </w:pPr>
      <w:r>
        <w:t>Confirmar a presença do profissional da assistência que acompanhará o transporte. Sem ele, o transporte entre unidades não é autorizado, exceto o transporte de corpo após óbito.</w:t>
      </w:r>
    </w:p>
    <w:p>
      <w:pPr>
        <w:pStyle w:val="ListNumber"/>
      </w:pPr>
      <w:r>
        <w:t>Conduzir a maca pela cabeceira, em velocidade compatível com a segurança, sem deixar o paciente desacompanhado.</w:t>
      </w:r>
    </w:p>
    <w:p>
      <w:pPr>
        <w:pStyle w:val="ListNumber"/>
      </w:pPr>
      <w:r>
        <w:t>Ao chegar, acomodar o paciente conforme a orientação do profissional da assistência, em conjunto com a equipe, travando as rodas.</w:t>
      </w:r>
    </w:p>
    <w:p>
      <w:pPr>
        <w:pStyle w:val="ListNumber"/>
      </w:pPr>
      <w:r>
        <w:t>Higienizar as mãos, desparamentar-se e higienizar o equipamento com o produto padronizado pela instituição.</w:t>
      </w:r>
    </w:p>
    <w:p>
      <w:pPr>
        <w:pStyle w:val="ListNumber"/>
      </w:pPr>
      <w:r>
        <w:t>Comunicar a conclusão à central e retornar ao posto de trabalho.</w:t>
      </w:r>
    </w:p>
    <w:p>
      <w:pPr>
        <w:pStyle w:val="Heading2"/>
      </w:pPr>
      <w:r>
        <w:rPr>
          <w:rFonts w:ascii="Calibri" w:hAnsi="Calibri"/>
          <w:color w:val="151727"/>
        </w:rPr>
        <w:t>7. Situações especiais</w:t>
      </w:r>
    </w:p>
    <w:p>
      <w:pPr>
        <w:pStyle w:val="ListBullet"/>
      </w:pPr>
      <w:r>
        <w:t>Paciente não liberado: se, após o prazo de tolerância, o paciente não estiver disponível, o maqueiro informa a central e o chamado é encerrado com o motivo registrado.</w:t>
      </w:r>
    </w:p>
    <w:p>
      <w:pPr>
        <w:pStyle w:val="ListBullet"/>
      </w:pPr>
      <w:r>
        <w:t>Indisponibilidade do maqueiro: a central informa a unidade, e o transporte passa a ser realizado pela equipe assistencial da origem, conforme a regra do hospital.</w:t>
      </w:r>
    </w:p>
    <w:p>
      <w:pPr>
        <w:pStyle w:val="ListBullet"/>
      </w:pPr>
      <w:r>
        <w:t>Óbito: conferir a identificação do corpo, conduzi-lo ao local destinado e identificar o local de acondicionamento. Na retirada para reconhecimento, conferir a identificação antes da apresentação à família pela equipe assistencial.</w:t>
      </w:r>
    </w:p>
    <w:p>
      <w:pPr>
        <w:pStyle w:val="ListBullet"/>
      </w:pPr>
      <w:r>
        <w:t>Equipamento com avaria: retirar de uso, sinalizar e comunicar a gestão local imediatamente.</w:t>
      </w:r>
    </w:p>
    <w:p>
      <w:pPr>
        <w:pStyle w:val="ListBullet"/>
      </w:pPr>
      <w:r>
        <w:t>Pacientes em isolamento ou de maior risco (obesos, idosos, prematuros, politraumatizados, sedados): redobrar a vigilância e seguir as orientações da enfermagem.</w:t>
      </w:r>
    </w:p>
    <w:p>
      <w:pPr>
        <w:pStyle w:val="Heading2"/>
      </w:pPr>
      <w:r>
        <w:rPr>
          <w:rFonts w:ascii="Calibri" w:hAnsi="Calibri"/>
          <w:color w:val="151727"/>
        </w:rPr>
        <w:t>8. Indicadores</w:t>
      </w:r>
    </w:p>
    <w:p>
      <w:pPr>
        <w:pStyle w:val="ListBullet"/>
      </w:pPr>
      <w:r>
        <w:t>tempo médio de conclusão do atendimento;</w:t>
      </w:r>
    </w:p>
    <w:p>
      <w:pPr>
        <w:pStyle w:val="ListBullet"/>
      </w:pPr>
      <w:r>
        <w:t>número de requisições recebidas;</w:t>
      </w:r>
    </w:p>
    <w:p>
      <w:pPr>
        <w:pStyle w:val="ListBullet"/>
      </w:pPr>
      <w:r>
        <w:t>número de requisições executadas;</w:t>
      </w:r>
    </w:p>
    <w:p>
      <w:pPr>
        <w:pStyle w:val="ListBullet"/>
      </w:pPr>
      <w:r>
        <w:t>proporção de chamados encerrados por indisponibilidade do paciente;</w:t>
      </w:r>
    </w:p>
    <w:p>
      <w:pPr>
        <w:pStyle w:val="ListBullet"/>
      </w:pPr>
      <w:r>
        <w:t>proporção de chamados encerrados por indisponibilidade do maqueiro;</w:t>
      </w:r>
    </w:p>
    <w:p>
      <w:pPr>
        <w:pStyle w:val="ListBullet"/>
      </w:pPr>
      <w:r>
        <w:t>cumprimento dos prazos (SLA).</w:t>
      </w:r>
    </w:p>
    <w:p>
      <w:pPr>
        <w:pStyle w:val="Heading2"/>
      </w:pPr>
      <w:r>
        <w:rPr>
          <w:rFonts w:ascii="Calibri" w:hAnsi="Calibri"/>
          <w:color w:val="151727"/>
        </w:rPr>
        <w:t>9. Registros e formulários</w:t>
      </w:r>
    </w:p>
    <w:p>
      <w:r>
        <w:t>Formulário de requisição de serviço de maqueiro (campos descritos no item 6.1) e checklist de macas e cadeiras de rodas, com os campos abaixo, preenchido na passagem de plantão.</w:t>
      </w:r>
    </w:p>
    <w:p>
      <w:r>
        <w:rPr>
          <w:i/>
          <w:sz w:val="18"/>
        </w:rPr>
        <w:t>Checklist de macas e cadeiras de rodas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56"/>
        <w:gridCol w:w="856"/>
        <w:gridCol w:w="856"/>
        <w:gridCol w:w="856"/>
        <w:gridCol w:w="856"/>
        <w:gridCol w:w="856"/>
        <w:gridCol w:w="856"/>
        <w:gridCol w:w="856"/>
        <w:gridCol w:w="856"/>
        <w:gridCol w:w="856"/>
        <w:gridCol w:w="856"/>
      </w:tblGrid>
      <w:tr>
        <w:tc>
          <w:tcPr>
            <w:tcW w:type="dxa" w:w="856"/>
            <w:shd w:val="clear" w:color="auto" w:fill="151727"/>
          </w:tcPr>
          <w:p>
            <w:r/>
            <w:r>
              <w:rPr>
                <w:b/>
                <w:color w:val="FFFFFF"/>
                <w:sz w:val="18"/>
              </w:rPr>
              <w:t>Nº do patrimônio</w:t>
            </w:r>
          </w:p>
        </w:tc>
        <w:tc>
          <w:tcPr>
            <w:tcW w:type="dxa" w:w="856"/>
            <w:shd w:val="clear" w:color="auto" w:fill="151727"/>
          </w:tcPr>
          <w:p>
            <w:r/>
            <w:r>
              <w:rPr>
                <w:b/>
                <w:color w:val="FFFFFF"/>
                <w:sz w:val="18"/>
              </w:rPr>
              <w:t>Setor</w:t>
            </w:r>
          </w:p>
        </w:tc>
        <w:tc>
          <w:tcPr>
            <w:tcW w:type="dxa" w:w="856"/>
            <w:shd w:val="clear" w:color="auto" w:fill="151727"/>
          </w:tcPr>
          <w:p>
            <w:r/>
            <w:r>
              <w:rPr>
                <w:b/>
                <w:color w:val="FFFFFF"/>
                <w:sz w:val="18"/>
              </w:rPr>
              <w:t>Assento</w:t>
            </w:r>
          </w:p>
        </w:tc>
        <w:tc>
          <w:tcPr>
            <w:tcW w:type="dxa" w:w="856"/>
            <w:shd w:val="clear" w:color="auto" w:fill="151727"/>
          </w:tcPr>
          <w:p>
            <w:r/>
            <w:r>
              <w:rPr>
                <w:b/>
                <w:color w:val="FFFFFF"/>
                <w:sz w:val="18"/>
              </w:rPr>
              <w:t>Encosto</w:t>
            </w:r>
          </w:p>
        </w:tc>
        <w:tc>
          <w:tcPr>
            <w:tcW w:type="dxa" w:w="856"/>
            <w:shd w:val="clear" w:color="auto" w:fill="151727"/>
          </w:tcPr>
          <w:p>
            <w:r/>
            <w:r>
              <w:rPr>
                <w:b/>
                <w:color w:val="FFFFFF"/>
                <w:sz w:val="18"/>
              </w:rPr>
              <w:t>Rodas</w:t>
            </w:r>
          </w:p>
        </w:tc>
        <w:tc>
          <w:tcPr>
            <w:tcW w:type="dxa" w:w="856"/>
            <w:shd w:val="clear" w:color="auto" w:fill="151727"/>
          </w:tcPr>
          <w:p>
            <w:r/>
            <w:r>
              <w:rPr>
                <w:b/>
                <w:color w:val="FFFFFF"/>
                <w:sz w:val="18"/>
              </w:rPr>
              <w:t>Pneus</w:t>
            </w:r>
          </w:p>
        </w:tc>
        <w:tc>
          <w:tcPr>
            <w:tcW w:type="dxa" w:w="856"/>
            <w:shd w:val="clear" w:color="auto" w:fill="151727"/>
          </w:tcPr>
          <w:p>
            <w:r/>
            <w:r>
              <w:rPr>
                <w:b/>
                <w:color w:val="FFFFFF"/>
                <w:sz w:val="18"/>
              </w:rPr>
              <w:t>Colchão</w:t>
            </w:r>
          </w:p>
        </w:tc>
        <w:tc>
          <w:tcPr>
            <w:tcW w:type="dxa" w:w="856"/>
            <w:shd w:val="clear" w:color="auto" w:fill="151727"/>
          </w:tcPr>
          <w:p>
            <w:r/>
            <w:r>
              <w:rPr>
                <w:b/>
                <w:color w:val="FFFFFF"/>
                <w:sz w:val="18"/>
              </w:rPr>
              <w:t>Hidráulica</w:t>
            </w:r>
          </w:p>
        </w:tc>
        <w:tc>
          <w:tcPr>
            <w:tcW w:type="dxa" w:w="856"/>
            <w:shd w:val="clear" w:color="auto" w:fill="151727"/>
          </w:tcPr>
          <w:p>
            <w:r/>
            <w:r>
              <w:rPr>
                <w:b/>
                <w:color w:val="FFFFFF"/>
                <w:sz w:val="18"/>
              </w:rPr>
              <w:t>Estrutura</w:t>
            </w:r>
          </w:p>
        </w:tc>
        <w:tc>
          <w:tcPr>
            <w:tcW w:type="dxa" w:w="856"/>
            <w:shd w:val="clear" w:color="auto" w:fill="151727"/>
          </w:tcPr>
          <w:p>
            <w:r/>
            <w:r>
              <w:rPr>
                <w:b/>
                <w:color w:val="FFFFFF"/>
                <w:sz w:val="18"/>
              </w:rPr>
              <w:t>Conforme?</w:t>
            </w:r>
          </w:p>
        </w:tc>
        <w:tc>
          <w:tcPr>
            <w:tcW w:type="dxa" w:w="856"/>
            <w:shd w:val="clear" w:color="auto" w:fill="151727"/>
          </w:tcPr>
          <w:p>
            <w:r/>
            <w:r>
              <w:rPr>
                <w:b/>
                <w:color w:val="FFFFFF"/>
                <w:sz w:val="18"/>
              </w:rPr>
              <w:t>Observações</w:t>
            </w:r>
          </w:p>
        </w:tc>
      </w:tr>
      <w:tr>
        <w:tc>
          <w:tcPr>
            <w:tcW w:type="dxa" w:w="856"/>
          </w:tcPr>
          <w:p>
            <w:r/>
            <w:r>
              <w:rPr>
                <w:sz w:val="18"/>
              </w:rPr>
              <w:t>[ ]</w:t>
            </w:r>
          </w:p>
        </w:tc>
        <w:tc>
          <w:tcPr>
            <w:tcW w:type="dxa" w:w="856"/>
          </w:tcPr>
          <w:p>
            <w:r/>
            <w:r>
              <w:rPr>
                <w:sz w:val="18"/>
              </w:rPr>
              <w:t>[ ]</w:t>
            </w:r>
          </w:p>
        </w:tc>
        <w:tc>
          <w:tcPr>
            <w:tcW w:type="dxa" w:w="856"/>
          </w:tcPr>
          <w:p>
            <w:r/>
            <w:r>
              <w:rPr>
                <w:sz w:val="18"/>
              </w:rPr>
              <w:t>[ ]</w:t>
            </w:r>
          </w:p>
        </w:tc>
        <w:tc>
          <w:tcPr>
            <w:tcW w:type="dxa" w:w="856"/>
          </w:tcPr>
          <w:p>
            <w:r/>
            <w:r>
              <w:rPr>
                <w:sz w:val="18"/>
              </w:rPr>
              <w:t>[ ]</w:t>
            </w:r>
          </w:p>
        </w:tc>
        <w:tc>
          <w:tcPr>
            <w:tcW w:type="dxa" w:w="856"/>
          </w:tcPr>
          <w:p>
            <w:r/>
            <w:r>
              <w:rPr>
                <w:sz w:val="18"/>
              </w:rPr>
              <w:t>[ ]</w:t>
            </w:r>
          </w:p>
        </w:tc>
        <w:tc>
          <w:tcPr>
            <w:tcW w:type="dxa" w:w="856"/>
          </w:tcPr>
          <w:p>
            <w:r/>
            <w:r>
              <w:rPr>
                <w:sz w:val="18"/>
              </w:rPr>
              <w:t>[ ]</w:t>
            </w:r>
          </w:p>
        </w:tc>
        <w:tc>
          <w:tcPr>
            <w:tcW w:type="dxa" w:w="856"/>
          </w:tcPr>
          <w:p>
            <w:r/>
            <w:r>
              <w:rPr>
                <w:sz w:val="18"/>
              </w:rPr>
              <w:t>[ ]</w:t>
            </w:r>
          </w:p>
        </w:tc>
        <w:tc>
          <w:tcPr>
            <w:tcW w:type="dxa" w:w="856"/>
          </w:tcPr>
          <w:p>
            <w:r/>
            <w:r>
              <w:rPr>
                <w:sz w:val="18"/>
              </w:rPr>
              <w:t>[ ]</w:t>
            </w:r>
          </w:p>
        </w:tc>
        <w:tc>
          <w:tcPr>
            <w:tcW w:type="dxa" w:w="856"/>
          </w:tcPr>
          <w:p>
            <w:r/>
            <w:r>
              <w:rPr>
                <w:sz w:val="18"/>
              </w:rPr>
              <w:t>[ ]</w:t>
            </w:r>
          </w:p>
        </w:tc>
        <w:tc>
          <w:tcPr>
            <w:tcW w:type="dxa" w:w="856"/>
          </w:tcPr>
          <w:p>
            <w:r/>
            <w:r>
              <w:rPr>
                <w:sz w:val="18"/>
              </w:rPr>
              <w:t>Sim / Não</w:t>
            </w:r>
          </w:p>
        </w:tc>
        <w:tc>
          <w:tcPr>
            <w:tcW w:type="dxa" w:w="856"/>
          </w:tcPr>
          <w:p>
            <w:r/>
            <w:r>
              <w:rPr>
                <w:sz w:val="18"/>
              </w:rPr>
              <w:t>[ ]</w:t>
            </w:r>
          </w:p>
        </w:tc>
      </w:tr>
    </w:tbl>
    <w:p/>
    <w:p>
      <w:pPr>
        <w:pStyle w:val="Heading2"/>
      </w:pPr>
      <w:r>
        <w:rPr>
          <w:rFonts w:ascii="Calibri" w:hAnsi="Calibri"/>
          <w:color w:val="151727"/>
        </w:rPr>
        <w:t>10. Referências e histórico</w:t>
      </w:r>
    </w:p>
    <w:p>
      <w:r>
        <w:t>Este modelo foi elaborado a partir da leitura dos documentos listados nas fontes ao final do documento, que citam, entre outras normas, a Resolução CFM nº 1.672/2003 e a Resolução COFEN nº 588/2018. Confira o texto vigente de cada norma antes de adotá-lo.</w:t>
      </w:r>
    </w:p>
    <w:p>
      <w:r>
        <w:t>Histórico de revisão: versão [01] — [DATA] — emissão inicial — [RESPONSÁVEL].</w:t>
      </w:r>
    </w:p>
    <w:p>
      <w:pPr>
        <w:pStyle w:val="Heading2"/>
      </w:pPr>
      <w:r>
        <w:rPr>
          <w:color w:val="151727"/>
        </w:rPr>
        <w:t>Fontes consultadas</w:t>
      </w:r>
    </w:p>
    <w:p>
      <w:pPr>
        <w:pStyle w:val="ListBullet"/>
      </w:pPr>
      <w:r>
        <w:t>RioSaúde — POP.DOP.002, Serviço de Maqueiro (revisão 02, 2024) — https://riosaude.prefeitura.rio/wp-content/uploads/sites/66/2024/05/POP-Servico-de-maqueiro-1.pdf</w:t>
      </w:r>
    </w:p>
    <w:p>
      <w:pPr>
        <w:pStyle w:val="ListBullet"/>
      </w:pPr>
      <w:r>
        <w:t>HU-UFGD — PRT.DENF.003, Transporte intra-hospitalar pelo maqueiro (versão 01, 2025) — https://www.gov.br/hubrasil/pt-br/hospitais-universitarios/regiao-centro-oeste/hu-ufgd/acesso-a-informacao/pops-protocolos-e-processos/gad/prt-denf-003-transporte-intra-hospitalar-pelo-maqueiro-v-1.pdf</w:t>
      </w:r>
    </w:p>
    <w:p>
      <w:r>
        <w:rPr>
          <w:i/>
          <w:sz w:val="18"/>
        </w:rPr>
        <w:t>Documento-modelo para adaptação. Não substitui as normas vigentes nem a validação das áreas técnicas do hospital (enfermagem, CCIH, segurança do paciente e SESMT).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6868B"/>
        <w:sz w:val="16"/>
      </w:rPr>
      <w:t>Elaborado pela Jump Systems · jumpsystems.com.br/pulselog · Documento-modelo para adaptação; deve ser validado pelas áreas técnicas do hospital.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